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8F0" w:rsidRPr="00CB58F0" w:rsidRDefault="00CB58F0" w:rsidP="00CB58F0">
      <w:pPr>
        <w:widowControl/>
        <w:jc w:val="center"/>
        <w:rPr>
          <w:rFonts w:asciiTheme="minorHAnsi" w:hAnsiTheme="minorHAnsi" w:cstheme="minorHAnsi"/>
          <w:b/>
          <w:bCs/>
          <w:sz w:val="22"/>
          <w:szCs w:val="22"/>
        </w:rPr>
      </w:pPr>
      <w:r w:rsidRPr="00CB58F0">
        <w:rPr>
          <w:rFonts w:asciiTheme="minorHAnsi" w:hAnsiTheme="minorHAnsi" w:cstheme="minorHAnsi"/>
          <w:b/>
          <w:bCs/>
          <w:sz w:val="22"/>
          <w:szCs w:val="22"/>
        </w:rPr>
        <w:t>East Paulding High School</w:t>
      </w:r>
    </w:p>
    <w:p w:rsidR="00CB58F0" w:rsidRPr="00CB58F0" w:rsidRDefault="00CB58F0" w:rsidP="00CB58F0">
      <w:pPr>
        <w:widowControl/>
        <w:jc w:val="center"/>
        <w:rPr>
          <w:rFonts w:asciiTheme="minorHAnsi" w:hAnsiTheme="minorHAnsi" w:cstheme="minorHAnsi"/>
          <w:b/>
          <w:bCs/>
          <w:sz w:val="22"/>
          <w:szCs w:val="22"/>
        </w:rPr>
      </w:pPr>
      <w:r w:rsidRPr="00CB58F0">
        <w:rPr>
          <w:rFonts w:asciiTheme="minorHAnsi" w:hAnsiTheme="minorHAnsi" w:cstheme="minorHAnsi"/>
          <w:b/>
          <w:bCs/>
          <w:sz w:val="22"/>
          <w:szCs w:val="22"/>
        </w:rPr>
        <w:t>United States History</w:t>
      </w:r>
      <w:bookmarkStart w:id="0" w:name="_GoBack"/>
      <w:bookmarkEnd w:id="0"/>
    </w:p>
    <w:p w:rsidR="00CB58F0" w:rsidRPr="00CB58F0" w:rsidRDefault="00CB58F0" w:rsidP="00CB58F0">
      <w:pPr>
        <w:widowControl/>
        <w:jc w:val="center"/>
        <w:rPr>
          <w:rFonts w:asciiTheme="minorHAnsi" w:hAnsiTheme="minorHAnsi" w:cstheme="minorHAnsi"/>
          <w:b/>
          <w:bCs/>
          <w:sz w:val="22"/>
          <w:szCs w:val="22"/>
        </w:rPr>
      </w:pPr>
      <w:r w:rsidRPr="00CB58F0">
        <w:rPr>
          <w:rFonts w:asciiTheme="minorHAnsi" w:hAnsiTheme="minorHAnsi" w:cstheme="minorHAnsi"/>
          <w:b/>
          <w:bCs/>
          <w:sz w:val="22"/>
          <w:szCs w:val="22"/>
        </w:rPr>
        <w:t>Christopher M. Holcomb</w:t>
      </w:r>
    </w:p>
    <w:p w:rsidR="00CB58F0" w:rsidRPr="00CB58F0" w:rsidRDefault="00CB58F0" w:rsidP="00CB58F0">
      <w:pPr>
        <w:widowControl/>
        <w:ind w:firstLine="720"/>
        <w:jc w:val="center"/>
        <w:rPr>
          <w:rFonts w:asciiTheme="minorHAnsi" w:hAnsiTheme="minorHAnsi" w:cstheme="minorHAnsi"/>
          <w:bCs/>
          <w:sz w:val="22"/>
          <w:szCs w:val="22"/>
        </w:rPr>
      </w:pPr>
    </w:p>
    <w:p w:rsidR="00CB58F0" w:rsidRPr="00CB58F0" w:rsidRDefault="00CB58F0" w:rsidP="00CB58F0">
      <w:pPr>
        <w:widowControl/>
        <w:rPr>
          <w:rFonts w:asciiTheme="minorHAnsi" w:hAnsiTheme="minorHAnsi" w:cstheme="minorHAnsi"/>
          <w:b/>
          <w:bCs/>
          <w:sz w:val="22"/>
          <w:szCs w:val="22"/>
        </w:rPr>
      </w:pPr>
      <w:r w:rsidRPr="00CB58F0">
        <w:rPr>
          <w:rFonts w:asciiTheme="minorHAnsi" w:hAnsiTheme="minorHAnsi" w:cstheme="minorHAnsi"/>
          <w:b/>
          <w:bCs/>
          <w:sz w:val="22"/>
          <w:szCs w:val="22"/>
          <w:u w:val="single"/>
        </w:rPr>
        <w:t>Course Description:</w:t>
      </w:r>
    </w:p>
    <w:p w:rsidR="00CB58F0" w:rsidRPr="00CB58F0" w:rsidRDefault="00CB58F0" w:rsidP="00CB58F0">
      <w:pPr>
        <w:widowControl/>
        <w:rPr>
          <w:rFonts w:asciiTheme="minorHAnsi" w:hAnsiTheme="minorHAnsi" w:cstheme="minorHAnsi"/>
          <w:color w:val="333333"/>
          <w:sz w:val="22"/>
          <w:szCs w:val="22"/>
        </w:rPr>
      </w:pPr>
      <w:r w:rsidRPr="00CB58F0">
        <w:rPr>
          <w:rFonts w:asciiTheme="minorHAnsi" w:hAnsiTheme="minorHAnsi" w:cstheme="minorHAnsi"/>
          <w:color w:val="333333"/>
          <w:sz w:val="22"/>
          <w:szCs w:val="22"/>
        </w:rPr>
        <w:t xml:space="preserve">This </w:t>
      </w:r>
      <w:r>
        <w:rPr>
          <w:rFonts w:asciiTheme="minorHAnsi" w:hAnsiTheme="minorHAnsi" w:cstheme="minorHAnsi"/>
          <w:color w:val="333333"/>
          <w:sz w:val="22"/>
          <w:szCs w:val="22"/>
        </w:rPr>
        <w:t xml:space="preserve">block </w:t>
      </w:r>
      <w:r w:rsidRPr="00CB58F0">
        <w:rPr>
          <w:rFonts w:asciiTheme="minorHAnsi" w:hAnsiTheme="minorHAnsi" w:cstheme="minorHAnsi"/>
          <w:color w:val="333333"/>
          <w:sz w:val="22"/>
          <w:szCs w:val="22"/>
        </w:rPr>
        <w:t xml:space="preserve">course provides a one-year survey of American history from the Colonial Period and the American Revolution to the present day, with an emphasis on the twentieth century.  Using the textbook and primary documents and current events, students learn about the various political, social, religious, and economic developments that have shaped and continue to shape the United States.  </w:t>
      </w:r>
      <w:r w:rsidRPr="00CB58F0">
        <w:rPr>
          <w:rFonts w:asciiTheme="minorHAnsi" w:hAnsiTheme="minorHAnsi" w:cstheme="minorHAnsi"/>
          <w:color w:val="333333"/>
          <w:sz w:val="22"/>
          <w:szCs w:val="22"/>
        </w:rPr>
        <w:t>Primary source document analysis</w:t>
      </w:r>
      <w:r w:rsidRPr="00CB58F0">
        <w:rPr>
          <w:rFonts w:asciiTheme="minorHAnsi" w:hAnsiTheme="minorHAnsi" w:cstheme="minorHAnsi"/>
          <w:color w:val="333333"/>
          <w:sz w:val="22"/>
          <w:szCs w:val="22"/>
        </w:rPr>
        <w:t xml:space="preserve"> and critical thinking are emphasized as integral ways of understanding how the past relates to the present and future.  </w:t>
      </w:r>
      <w:r w:rsidRPr="00CB58F0">
        <w:rPr>
          <w:rFonts w:asciiTheme="minorHAnsi" w:hAnsiTheme="minorHAnsi" w:cstheme="minorHAnsi"/>
          <w:color w:val="333333"/>
          <w:sz w:val="22"/>
          <w:szCs w:val="22"/>
        </w:rPr>
        <w:t>Film will be utilized as well. Performance tasks include Socratic Seminars, debates, simulations, etc.</w:t>
      </w:r>
    </w:p>
    <w:p w:rsidR="00CB58F0" w:rsidRPr="00CB58F0" w:rsidRDefault="00CB58F0" w:rsidP="00CB58F0">
      <w:pPr>
        <w:widowControl/>
        <w:rPr>
          <w:rFonts w:asciiTheme="minorHAnsi" w:hAnsiTheme="minorHAnsi" w:cstheme="minorHAnsi"/>
          <w:b/>
          <w:bCs/>
          <w:sz w:val="22"/>
          <w:szCs w:val="22"/>
        </w:rPr>
      </w:pPr>
    </w:p>
    <w:p w:rsidR="00CB58F0" w:rsidRPr="00CB58F0" w:rsidRDefault="00CB58F0" w:rsidP="00CB58F0">
      <w:pPr>
        <w:widowControl/>
        <w:rPr>
          <w:rFonts w:asciiTheme="minorHAnsi" w:hAnsiTheme="minorHAnsi" w:cstheme="minorHAnsi"/>
          <w:b/>
          <w:bCs/>
          <w:sz w:val="22"/>
          <w:szCs w:val="22"/>
          <w:u w:val="single"/>
        </w:rPr>
      </w:pPr>
      <w:r w:rsidRPr="00CB58F0">
        <w:rPr>
          <w:rFonts w:asciiTheme="minorHAnsi" w:hAnsiTheme="minorHAnsi" w:cstheme="minorHAnsi"/>
          <w:b/>
          <w:bCs/>
          <w:sz w:val="22"/>
          <w:szCs w:val="22"/>
          <w:u w:val="single"/>
        </w:rPr>
        <w:t>Textbooks:</w:t>
      </w:r>
    </w:p>
    <w:p w:rsidR="00CB58F0" w:rsidRPr="00CB58F0" w:rsidRDefault="00CB58F0" w:rsidP="00CB58F0">
      <w:pPr>
        <w:widowControl/>
        <w:rPr>
          <w:rFonts w:asciiTheme="minorHAnsi" w:hAnsiTheme="minorHAnsi" w:cstheme="minorHAnsi"/>
          <w:bCs/>
          <w:sz w:val="22"/>
          <w:szCs w:val="22"/>
        </w:rPr>
      </w:pPr>
      <w:r w:rsidRPr="00CB58F0">
        <w:rPr>
          <w:rFonts w:asciiTheme="minorHAnsi" w:hAnsiTheme="minorHAnsi" w:cstheme="minorHAnsi"/>
          <w:bCs/>
          <w:sz w:val="22"/>
          <w:szCs w:val="22"/>
        </w:rPr>
        <w:t>Each teacher has a class set of textbooks. Teachers will not issue each student a book. Textbooks can be checked out to a student with the teacher, and online versions will also be available to each student.  If a book borrowed and is not returned at the end of the semester; the student will be responsible for replacing the book.  The information for the book replacement is below:</w:t>
      </w:r>
    </w:p>
    <w:p w:rsidR="00CB58F0" w:rsidRPr="00CB58F0" w:rsidRDefault="00CB58F0" w:rsidP="00CB58F0">
      <w:pPr>
        <w:widowControl/>
        <w:rPr>
          <w:rFonts w:asciiTheme="minorHAnsi" w:hAnsiTheme="minorHAnsi" w:cstheme="minorHAnsi"/>
          <w:b/>
          <w:bCs/>
          <w:sz w:val="22"/>
          <w:szCs w:val="22"/>
        </w:rPr>
      </w:pPr>
      <w:r w:rsidRPr="00CB58F0">
        <w:rPr>
          <w:rFonts w:asciiTheme="minorHAnsi" w:hAnsiTheme="minorHAnsi" w:cstheme="minorHAnsi"/>
          <w:b/>
          <w:bCs/>
          <w:sz w:val="22"/>
          <w:szCs w:val="22"/>
        </w:rPr>
        <w:tab/>
      </w:r>
    </w:p>
    <w:p w:rsidR="00CB58F0" w:rsidRPr="00CB58F0" w:rsidRDefault="00CB58F0" w:rsidP="00CB58F0">
      <w:pPr>
        <w:widowControl/>
        <w:rPr>
          <w:rFonts w:asciiTheme="minorHAnsi" w:hAnsiTheme="minorHAnsi" w:cstheme="minorHAnsi"/>
          <w:b/>
          <w:bCs/>
          <w:sz w:val="22"/>
          <w:szCs w:val="22"/>
          <w:u w:val="single"/>
        </w:rPr>
      </w:pPr>
    </w:p>
    <w:p w:rsidR="00CB58F0" w:rsidRPr="00CB58F0" w:rsidRDefault="00CB58F0" w:rsidP="00CB58F0">
      <w:pPr>
        <w:widowControl/>
        <w:rPr>
          <w:rFonts w:asciiTheme="minorHAnsi" w:hAnsiTheme="minorHAnsi" w:cstheme="minorHAnsi"/>
          <w:bCs/>
          <w:sz w:val="22"/>
          <w:szCs w:val="22"/>
        </w:rPr>
      </w:pPr>
      <w:r w:rsidRPr="00CB58F0">
        <w:rPr>
          <w:rFonts w:asciiTheme="minorHAnsi" w:hAnsiTheme="minorHAnsi" w:cstheme="minorHAnsi"/>
          <w:b/>
          <w:bCs/>
          <w:sz w:val="22"/>
          <w:szCs w:val="22"/>
          <w:u w:val="single"/>
        </w:rPr>
        <w:t>The Americans</w:t>
      </w:r>
      <w:r>
        <w:rPr>
          <w:rFonts w:asciiTheme="minorHAnsi" w:hAnsiTheme="minorHAnsi" w:cstheme="minorHAnsi"/>
          <w:b/>
          <w:bCs/>
          <w:sz w:val="22"/>
          <w:szCs w:val="22"/>
        </w:rPr>
        <w:tab/>
      </w:r>
      <w:r>
        <w:rPr>
          <w:rFonts w:asciiTheme="minorHAnsi" w:hAnsiTheme="minorHAnsi" w:cstheme="minorHAnsi"/>
          <w:b/>
          <w:bCs/>
          <w:sz w:val="22"/>
          <w:szCs w:val="22"/>
        </w:rPr>
        <w:tab/>
      </w:r>
      <w:r w:rsidRPr="00CB58F0">
        <w:rPr>
          <w:rFonts w:asciiTheme="minorHAnsi" w:hAnsiTheme="minorHAnsi" w:cstheme="minorHAnsi"/>
          <w:b/>
          <w:bCs/>
          <w:sz w:val="22"/>
          <w:szCs w:val="22"/>
        </w:rPr>
        <w:t xml:space="preserve">Publisher:  </w:t>
      </w:r>
      <w:r w:rsidRPr="00CB58F0">
        <w:rPr>
          <w:rFonts w:asciiTheme="minorHAnsi" w:hAnsiTheme="minorHAnsi" w:cstheme="minorHAnsi"/>
          <w:bCs/>
          <w:sz w:val="22"/>
          <w:szCs w:val="22"/>
        </w:rPr>
        <w:t>Houghton Mifflin Harcourt</w:t>
      </w:r>
      <w:r>
        <w:rPr>
          <w:rFonts w:asciiTheme="minorHAnsi" w:hAnsiTheme="minorHAnsi" w:cstheme="minorHAnsi"/>
          <w:b/>
          <w:bCs/>
          <w:sz w:val="22"/>
          <w:szCs w:val="22"/>
        </w:rPr>
        <w:t xml:space="preserve"> </w:t>
      </w:r>
      <w:r>
        <w:rPr>
          <w:rFonts w:asciiTheme="minorHAnsi" w:hAnsiTheme="minorHAnsi" w:cstheme="minorHAnsi"/>
          <w:b/>
          <w:bCs/>
          <w:sz w:val="22"/>
          <w:szCs w:val="22"/>
        </w:rPr>
        <w:tab/>
      </w:r>
      <w:r>
        <w:rPr>
          <w:rFonts w:asciiTheme="minorHAnsi" w:hAnsiTheme="minorHAnsi" w:cstheme="minorHAnsi"/>
          <w:b/>
          <w:bCs/>
          <w:sz w:val="22"/>
          <w:szCs w:val="22"/>
        </w:rPr>
        <w:tab/>
      </w:r>
      <w:r w:rsidRPr="00CB58F0">
        <w:rPr>
          <w:rFonts w:asciiTheme="minorHAnsi" w:hAnsiTheme="minorHAnsi" w:cstheme="minorHAnsi"/>
          <w:b/>
          <w:bCs/>
          <w:sz w:val="22"/>
          <w:szCs w:val="22"/>
        </w:rPr>
        <w:t xml:space="preserve">Price: </w:t>
      </w:r>
      <w:r w:rsidRPr="00CB58F0">
        <w:rPr>
          <w:rFonts w:asciiTheme="minorHAnsi" w:hAnsiTheme="minorHAnsi" w:cstheme="minorHAnsi"/>
          <w:bCs/>
          <w:sz w:val="22"/>
          <w:szCs w:val="22"/>
        </w:rPr>
        <w:t>$85.85</w:t>
      </w:r>
    </w:p>
    <w:p w:rsidR="00CB58F0" w:rsidRPr="00CB58F0" w:rsidRDefault="00CB58F0" w:rsidP="00CB58F0">
      <w:pPr>
        <w:widowControl/>
        <w:rPr>
          <w:rFonts w:asciiTheme="minorHAnsi" w:hAnsiTheme="minorHAnsi" w:cstheme="minorHAnsi"/>
          <w:b/>
          <w:bCs/>
          <w:sz w:val="22"/>
          <w:szCs w:val="22"/>
        </w:rPr>
      </w:pPr>
    </w:p>
    <w:p w:rsidR="00CB58F0" w:rsidRPr="00CB58F0" w:rsidRDefault="00CB58F0" w:rsidP="00CB58F0">
      <w:pPr>
        <w:widowControl/>
        <w:rPr>
          <w:rFonts w:asciiTheme="minorHAnsi" w:hAnsiTheme="minorHAnsi" w:cstheme="minorHAnsi"/>
          <w:b/>
          <w:bCs/>
          <w:sz w:val="22"/>
          <w:szCs w:val="22"/>
          <w:u w:val="single"/>
        </w:rPr>
      </w:pPr>
    </w:p>
    <w:p w:rsidR="00CB58F0" w:rsidRPr="00CB58F0" w:rsidRDefault="00CB58F0" w:rsidP="00CB58F0">
      <w:pPr>
        <w:widowControl/>
        <w:rPr>
          <w:rFonts w:asciiTheme="minorHAnsi" w:hAnsiTheme="minorHAnsi" w:cstheme="minorHAnsi"/>
          <w:b/>
          <w:bCs/>
          <w:sz w:val="22"/>
          <w:szCs w:val="22"/>
          <w:u w:val="single"/>
        </w:rPr>
      </w:pPr>
      <w:r>
        <w:rPr>
          <w:rFonts w:asciiTheme="minorHAnsi" w:hAnsiTheme="minorHAnsi" w:cstheme="minorHAnsi"/>
          <w:b/>
          <w:bCs/>
          <w:sz w:val="22"/>
          <w:szCs w:val="22"/>
          <w:u w:val="single"/>
        </w:rPr>
        <w:t>Grade Breakdown</w:t>
      </w:r>
      <w:r w:rsidRPr="00CB58F0">
        <w:rPr>
          <w:rFonts w:asciiTheme="minorHAnsi" w:hAnsiTheme="minorHAnsi" w:cstheme="minorHAnsi"/>
          <w:b/>
          <w:bCs/>
          <w:sz w:val="22"/>
          <w:szCs w:val="22"/>
          <w:u w:val="single"/>
        </w:rPr>
        <w:t>:</w:t>
      </w:r>
    </w:p>
    <w:p w:rsidR="00CB58F0" w:rsidRPr="00CB58F0" w:rsidRDefault="00CB58F0" w:rsidP="00CB58F0">
      <w:pPr>
        <w:rPr>
          <w:rFonts w:asciiTheme="minorHAnsi" w:hAnsiTheme="minorHAnsi" w:cstheme="minorHAnsi"/>
          <w:bCs/>
          <w:sz w:val="22"/>
          <w:szCs w:val="22"/>
        </w:rPr>
      </w:pPr>
      <w:r w:rsidRPr="00CB58F0">
        <w:rPr>
          <w:rFonts w:asciiTheme="minorHAnsi" w:hAnsiTheme="minorHAnsi" w:cstheme="minorHAnsi"/>
          <w:bCs/>
          <w:sz w:val="22"/>
          <w:szCs w:val="22"/>
        </w:rPr>
        <w:t xml:space="preserve">Summative Assessments = 71% </w:t>
      </w:r>
    </w:p>
    <w:p w:rsidR="00CB58F0" w:rsidRPr="00CB58F0" w:rsidRDefault="00CB58F0" w:rsidP="00CB58F0">
      <w:pPr>
        <w:rPr>
          <w:rFonts w:asciiTheme="minorHAnsi" w:hAnsiTheme="minorHAnsi" w:cstheme="minorHAnsi"/>
          <w:bCs/>
          <w:sz w:val="22"/>
          <w:szCs w:val="22"/>
        </w:rPr>
      </w:pPr>
      <w:r w:rsidRPr="00CB58F0">
        <w:rPr>
          <w:rFonts w:asciiTheme="minorHAnsi" w:hAnsiTheme="minorHAnsi" w:cstheme="minorHAnsi"/>
          <w:bCs/>
          <w:sz w:val="22"/>
          <w:szCs w:val="22"/>
        </w:rPr>
        <w:t xml:space="preserve">Formative </w:t>
      </w:r>
      <w:r w:rsidRPr="00CB58F0">
        <w:rPr>
          <w:rFonts w:asciiTheme="minorHAnsi" w:hAnsiTheme="minorHAnsi" w:cstheme="minorHAnsi"/>
          <w:bCs/>
          <w:sz w:val="22"/>
          <w:szCs w:val="22"/>
        </w:rPr>
        <w:t>Assessments =</w:t>
      </w:r>
      <w:r w:rsidRPr="00CB58F0">
        <w:rPr>
          <w:rFonts w:asciiTheme="minorHAnsi" w:hAnsiTheme="minorHAnsi" w:cstheme="minorHAnsi"/>
          <w:bCs/>
          <w:sz w:val="22"/>
          <w:szCs w:val="22"/>
        </w:rPr>
        <w:t xml:space="preserve"> 29% </w:t>
      </w:r>
    </w:p>
    <w:p w:rsidR="00CB58F0" w:rsidRPr="00CB58F0" w:rsidRDefault="00CB58F0" w:rsidP="00CB58F0">
      <w:pPr>
        <w:rPr>
          <w:rFonts w:asciiTheme="minorHAnsi" w:hAnsiTheme="minorHAnsi" w:cstheme="minorHAnsi"/>
          <w:bCs/>
          <w:i/>
          <w:sz w:val="22"/>
          <w:szCs w:val="22"/>
        </w:rPr>
      </w:pPr>
    </w:p>
    <w:p w:rsidR="00CB58F0" w:rsidRPr="00CB58F0" w:rsidRDefault="00CB58F0" w:rsidP="00CB58F0">
      <w:pPr>
        <w:rPr>
          <w:rFonts w:asciiTheme="minorHAnsi" w:hAnsiTheme="minorHAnsi" w:cstheme="minorHAnsi"/>
          <w:bCs/>
          <w:i/>
          <w:sz w:val="22"/>
          <w:szCs w:val="22"/>
        </w:rPr>
      </w:pPr>
      <w:r w:rsidRPr="00CB58F0">
        <w:rPr>
          <w:rFonts w:asciiTheme="minorHAnsi" w:hAnsiTheme="minorHAnsi" w:cstheme="minorHAnsi"/>
          <w:bCs/>
          <w:i/>
          <w:sz w:val="22"/>
          <w:szCs w:val="22"/>
        </w:rPr>
        <w:t>*Summative and Formative Assessments account for 80% of the final</w:t>
      </w:r>
      <w:r>
        <w:rPr>
          <w:rFonts w:asciiTheme="minorHAnsi" w:hAnsiTheme="minorHAnsi" w:cstheme="minorHAnsi"/>
          <w:bCs/>
          <w:i/>
          <w:sz w:val="22"/>
          <w:szCs w:val="22"/>
        </w:rPr>
        <w:t xml:space="preserve"> grade and the End of Course Test</w:t>
      </w:r>
      <w:r w:rsidRPr="00CB58F0">
        <w:rPr>
          <w:rFonts w:asciiTheme="minorHAnsi" w:hAnsiTheme="minorHAnsi" w:cstheme="minorHAnsi"/>
          <w:bCs/>
          <w:i/>
          <w:sz w:val="22"/>
          <w:szCs w:val="22"/>
        </w:rPr>
        <w:t xml:space="preserve"> will account for 20% of the final grade.</w:t>
      </w:r>
    </w:p>
    <w:p w:rsidR="00CB58F0" w:rsidRPr="00CB58F0" w:rsidRDefault="00CB58F0" w:rsidP="00CB58F0">
      <w:pPr>
        <w:rPr>
          <w:rFonts w:asciiTheme="minorHAnsi" w:hAnsiTheme="minorHAnsi" w:cstheme="minorHAnsi"/>
          <w:bCs/>
          <w:i/>
          <w:sz w:val="22"/>
          <w:szCs w:val="22"/>
        </w:rPr>
      </w:pPr>
    </w:p>
    <w:p w:rsidR="00CB58F0" w:rsidRPr="00CB58F0" w:rsidRDefault="00EF3A04" w:rsidP="00CB58F0">
      <w:pPr>
        <w:widowControl/>
        <w:rPr>
          <w:rFonts w:asciiTheme="minorHAnsi" w:hAnsiTheme="minorHAnsi" w:cstheme="minorHAnsi"/>
          <w:bCs/>
          <w:sz w:val="22"/>
          <w:szCs w:val="22"/>
        </w:rPr>
      </w:pPr>
      <w:r>
        <w:rPr>
          <w:rFonts w:asciiTheme="minorHAnsi" w:hAnsiTheme="minorHAnsi" w:cstheme="minorHAnsi"/>
          <w:b/>
          <w:bCs/>
          <w:sz w:val="22"/>
          <w:szCs w:val="22"/>
          <w:u w:val="single"/>
        </w:rPr>
        <w:t>GSE Standards</w:t>
      </w:r>
    </w:p>
    <w:p w:rsidR="00CB58F0" w:rsidRPr="00CB58F0" w:rsidRDefault="00CB58F0" w:rsidP="00CB58F0">
      <w:pPr>
        <w:widowControl/>
        <w:rPr>
          <w:rFonts w:asciiTheme="minorHAnsi" w:hAnsiTheme="minorHAnsi" w:cstheme="minorHAnsi"/>
          <w:bCs/>
          <w:sz w:val="22"/>
          <w:szCs w:val="22"/>
        </w:rPr>
      </w:pPr>
      <w:r w:rsidRPr="00CB58F0">
        <w:rPr>
          <w:rFonts w:asciiTheme="minorHAnsi" w:hAnsiTheme="minorHAnsi" w:cstheme="minorHAnsi"/>
          <w:bCs/>
          <w:sz w:val="22"/>
          <w:szCs w:val="22"/>
        </w:rPr>
        <w:t>Each classroom</w:t>
      </w:r>
      <w:r>
        <w:rPr>
          <w:rFonts w:asciiTheme="minorHAnsi" w:hAnsiTheme="minorHAnsi" w:cstheme="minorHAnsi"/>
          <w:bCs/>
          <w:sz w:val="22"/>
          <w:szCs w:val="22"/>
        </w:rPr>
        <w:t xml:space="preserve"> lesson will be based on the GSE</w:t>
      </w:r>
      <w:r w:rsidRPr="00CB58F0">
        <w:rPr>
          <w:rFonts w:asciiTheme="minorHAnsi" w:hAnsiTheme="minorHAnsi" w:cstheme="minorHAnsi"/>
          <w:bCs/>
          <w:sz w:val="22"/>
          <w:szCs w:val="22"/>
        </w:rPr>
        <w:t xml:space="preserve"> Standards.  You can find </w:t>
      </w:r>
      <w:r w:rsidRPr="00CB58F0">
        <w:rPr>
          <w:rFonts w:asciiTheme="minorHAnsi" w:hAnsiTheme="minorHAnsi" w:cstheme="minorHAnsi"/>
          <w:bCs/>
          <w:sz w:val="22"/>
          <w:szCs w:val="22"/>
        </w:rPr>
        <w:t>all</w:t>
      </w:r>
      <w:r w:rsidRPr="00CB58F0">
        <w:rPr>
          <w:rFonts w:asciiTheme="minorHAnsi" w:hAnsiTheme="minorHAnsi" w:cstheme="minorHAnsi"/>
          <w:bCs/>
          <w:sz w:val="22"/>
          <w:szCs w:val="22"/>
        </w:rPr>
        <w:t xml:space="preserve"> the GSE Standards for U.S. History here:  https://www.georgiastandards.org</w:t>
      </w:r>
    </w:p>
    <w:p w:rsidR="00CB58F0" w:rsidRPr="00CB58F0" w:rsidRDefault="00CB58F0" w:rsidP="00CB58F0">
      <w:pPr>
        <w:widowControl/>
        <w:rPr>
          <w:rFonts w:asciiTheme="minorHAnsi" w:hAnsiTheme="minorHAnsi" w:cstheme="minorHAnsi"/>
          <w:bCs/>
          <w:sz w:val="22"/>
          <w:szCs w:val="22"/>
        </w:rPr>
      </w:pPr>
    </w:p>
    <w:p w:rsidR="00CB58F0" w:rsidRPr="00CB58F0" w:rsidRDefault="00EF3A04" w:rsidP="00CB58F0">
      <w:pPr>
        <w:widowControl/>
        <w:rPr>
          <w:rStyle w:val="Strong"/>
          <w:rFonts w:asciiTheme="minorHAnsi" w:hAnsiTheme="minorHAnsi" w:cstheme="minorHAnsi"/>
          <w:sz w:val="22"/>
          <w:szCs w:val="22"/>
          <w:u w:val="single"/>
        </w:rPr>
      </w:pPr>
      <w:r>
        <w:rPr>
          <w:rStyle w:val="Strong"/>
          <w:rFonts w:asciiTheme="minorHAnsi" w:hAnsiTheme="minorHAnsi" w:cstheme="minorHAnsi"/>
          <w:sz w:val="22"/>
          <w:szCs w:val="22"/>
          <w:u w:val="single"/>
        </w:rPr>
        <w:t>Mastery Learning Plan</w:t>
      </w:r>
      <w:r w:rsidR="00CB58F0" w:rsidRPr="00CB58F0">
        <w:rPr>
          <w:rStyle w:val="Strong"/>
          <w:rFonts w:asciiTheme="minorHAnsi" w:hAnsiTheme="minorHAnsi" w:cstheme="minorHAnsi"/>
          <w:sz w:val="22"/>
          <w:szCs w:val="22"/>
          <w:u w:val="single"/>
        </w:rPr>
        <w:t>:</w:t>
      </w:r>
    </w:p>
    <w:p w:rsidR="00CB58F0" w:rsidRPr="00CB58F0" w:rsidRDefault="00CB58F0" w:rsidP="00CB58F0">
      <w:pPr>
        <w:widowControl/>
        <w:rPr>
          <w:rStyle w:val="Strong"/>
          <w:rFonts w:asciiTheme="minorHAnsi" w:hAnsiTheme="minorHAnsi" w:cstheme="minorHAnsi"/>
          <w:b w:val="0"/>
          <w:sz w:val="22"/>
          <w:szCs w:val="22"/>
        </w:rPr>
      </w:pPr>
      <w:r w:rsidRPr="00CB58F0">
        <w:rPr>
          <w:rStyle w:val="Strong"/>
          <w:rFonts w:asciiTheme="minorHAnsi" w:hAnsiTheme="minorHAnsi" w:cstheme="minorHAnsi"/>
          <w:b w:val="0"/>
          <w:sz w:val="22"/>
          <w:szCs w:val="22"/>
        </w:rPr>
        <w:t xml:space="preserve">At EPHS, we believe in teaching for mastery.  We understand that at times students struggle and need a little extra time and effort to master content material </w:t>
      </w:r>
      <w:r w:rsidRPr="00CB58F0">
        <w:rPr>
          <w:rStyle w:val="Strong"/>
          <w:rFonts w:asciiTheme="minorHAnsi" w:hAnsiTheme="minorHAnsi" w:cstheme="minorHAnsi"/>
          <w:b w:val="0"/>
          <w:sz w:val="22"/>
          <w:szCs w:val="22"/>
        </w:rPr>
        <w:t>to</w:t>
      </w:r>
      <w:r w:rsidRPr="00CB58F0">
        <w:rPr>
          <w:rStyle w:val="Strong"/>
          <w:rFonts w:asciiTheme="minorHAnsi" w:hAnsiTheme="minorHAnsi" w:cstheme="minorHAnsi"/>
          <w:b w:val="0"/>
          <w:sz w:val="22"/>
          <w:szCs w:val="22"/>
        </w:rPr>
        <w:t xml:space="preserve"> be successful on assessments.  </w:t>
      </w:r>
      <w:r w:rsidRPr="00CB58F0">
        <w:rPr>
          <w:rStyle w:val="Strong"/>
          <w:rFonts w:asciiTheme="minorHAnsi" w:hAnsiTheme="minorHAnsi" w:cstheme="minorHAnsi"/>
          <w:b w:val="0"/>
          <w:sz w:val="22"/>
          <w:szCs w:val="22"/>
        </w:rPr>
        <w:t>We</w:t>
      </w:r>
      <w:r w:rsidRPr="00CB58F0">
        <w:rPr>
          <w:rStyle w:val="Strong"/>
          <w:rFonts w:asciiTheme="minorHAnsi" w:hAnsiTheme="minorHAnsi" w:cstheme="minorHAnsi"/>
          <w:b w:val="0"/>
          <w:sz w:val="22"/>
          <w:szCs w:val="22"/>
        </w:rPr>
        <w:t xml:space="preserve"> have developed the following guidelines for content mastery throughout the semester.  Opportunities will be offered on formative &amp; summative assessments in each class.  All students will participate in mastery learning in some capacity.  Some ways that this will be accomplished include:</w:t>
      </w:r>
    </w:p>
    <w:p w:rsidR="00CB58F0" w:rsidRPr="00CB58F0" w:rsidRDefault="00CB58F0" w:rsidP="00CB58F0">
      <w:pPr>
        <w:widowControl/>
        <w:numPr>
          <w:ilvl w:val="0"/>
          <w:numId w:val="1"/>
        </w:numPr>
        <w:rPr>
          <w:rStyle w:val="Strong"/>
          <w:rFonts w:asciiTheme="minorHAnsi" w:hAnsiTheme="minorHAnsi" w:cstheme="minorHAnsi"/>
          <w:b w:val="0"/>
          <w:sz w:val="22"/>
          <w:szCs w:val="22"/>
        </w:rPr>
      </w:pPr>
      <w:r w:rsidRPr="00CB58F0">
        <w:rPr>
          <w:rStyle w:val="Strong"/>
          <w:rFonts w:asciiTheme="minorHAnsi" w:hAnsiTheme="minorHAnsi" w:cstheme="minorHAnsi"/>
          <w:b w:val="0"/>
          <w:sz w:val="22"/>
          <w:szCs w:val="22"/>
        </w:rPr>
        <w:t xml:space="preserve">Student must have attempted the original assignment and initiate the process of tutoring and mastery.  </w:t>
      </w:r>
    </w:p>
    <w:p w:rsidR="00CB58F0" w:rsidRPr="00CB58F0" w:rsidRDefault="00CB58F0" w:rsidP="00CB58F0">
      <w:pPr>
        <w:widowControl/>
        <w:numPr>
          <w:ilvl w:val="0"/>
          <w:numId w:val="1"/>
        </w:numPr>
        <w:rPr>
          <w:rStyle w:val="Strong"/>
          <w:rFonts w:asciiTheme="minorHAnsi" w:hAnsiTheme="minorHAnsi" w:cstheme="minorHAnsi"/>
          <w:b w:val="0"/>
          <w:sz w:val="22"/>
          <w:szCs w:val="22"/>
        </w:rPr>
      </w:pPr>
      <w:r w:rsidRPr="00CB58F0">
        <w:rPr>
          <w:rStyle w:val="Strong"/>
          <w:rFonts w:asciiTheme="minorHAnsi" w:hAnsiTheme="minorHAnsi" w:cstheme="minorHAnsi"/>
          <w:b w:val="0"/>
          <w:sz w:val="22"/>
          <w:szCs w:val="22"/>
        </w:rPr>
        <w:t xml:space="preserve">Completed remediation task assigned by teacher (additional written work, tutoring, research, etc.) prior to the assignment is possible.  </w:t>
      </w:r>
    </w:p>
    <w:p w:rsidR="00CB58F0" w:rsidRPr="00CB58F0" w:rsidRDefault="00CB58F0" w:rsidP="00CB58F0">
      <w:pPr>
        <w:widowControl/>
        <w:rPr>
          <w:rStyle w:val="Strong"/>
          <w:rFonts w:asciiTheme="minorHAnsi" w:hAnsiTheme="minorHAnsi" w:cstheme="minorHAnsi"/>
          <w:b w:val="0"/>
          <w:sz w:val="22"/>
          <w:szCs w:val="22"/>
        </w:rPr>
      </w:pPr>
    </w:p>
    <w:p w:rsidR="00CB58F0" w:rsidRPr="00CB58F0" w:rsidRDefault="00EF3A04" w:rsidP="00CB58F0">
      <w:pPr>
        <w:widowControl/>
        <w:rPr>
          <w:rStyle w:val="Strong"/>
          <w:rFonts w:asciiTheme="minorHAnsi" w:hAnsiTheme="minorHAnsi" w:cstheme="minorHAnsi"/>
          <w:b w:val="0"/>
          <w:sz w:val="22"/>
          <w:szCs w:val="22"/>
        </w:rPr>
      </w:pPr>
      <w:r>
        <w:rPr>
          <w:rStyle w:val="Strong"/>
          <w:rFonts w:asciiTheme="minorHAnsi" w:hAnsiTheme="minorHAnsi" w:cstheme="minorHAnsi"/>
          <w:sz w:val="22"/>
          <w:szCs w:val="22"/>
          <w:u w:val="single"/>
        </w:rPr>
        <w:t>Tutoring:</w:t>
      </w:r>
    </w:p>
    <w:p w:rsidR="00EF3A04" w:rsidRDefault="00CB58F0" w:rsidP="00EF3A04">
      <w:pPr>
        <w:widowControl/>
        <w:rPr>
          <w:rStyle w:val="Strong"/>
          <w:rFonts w:asciiTheme="minorHAnsi" w:hAnsiTheme="minorHAnsi" w:cstheme="minorHAnsi"/>
          <w:b w:val="0"/>
          <w:sz w:val="22"/>
          <w:szCs w:val="22"/>
        </w:rPr>
      </w:pPr>
      <w:r w:rsidRPr="00CB58F0">
        <w:rPr>
          <w:rStyle w:val="Strong"/>
          <w:rFonts w:asciiTheme="minorHAnsi" w:hAnsiTheme="minorHAnsi" w:cstheme="minorHAnsi"/>
          <w:b w:val="0"/>
          <w:sz w:val="22"/>
          <w:szCs w:val="22"/>
        </w:rPr>
        <w:t xml:space="preserve">Tutoring is available by request to the teacher.  Additional interdepartmental tutoring will be available and posted inside the classroom.  </w:t>
      </w:r>
    </w:p>
    <w:p w:rsidR="00D745E2" w:rsidRDefault="00D745E2" w:rsidP="00EF3A04">
      <w:pPr>
        <w:widowControl/>
        <w:rPr>
          <w:rStyle w:val="Strong"/>
          <w:rFonts w:asciiTheme="minorHAnsi" w:hAnsiTheme="minorHAnsi" w:cstheme="minorHAnsi"/>
          <w:b w:val="0"/>
          <w:sz w:val="22"/>
          <w:szCs w:val="22"/>
        </w:rPr>
      </w:pPr>
    </w:p>
    <w:p w:rsidR="00D745E2" w:rsidRDefault="00D745E2" w:rsidP="00EF3A04">
      <w:pPr>
        <w:widowControl/>
        <w:rPr>
          <w:rStyle w:val="Strong"/>
          <w:rFonts w:asciiTheme="minorHAnsi" w:hAnsiTheme="minorHAnsi" w:cstheme="minorHAnsi"/>
          <w:sz w:val="22"/>
          <w:szCs w:val="22"/>
          <w:u w:val="single"/>
        </w:rPr>
      </w:pPr>
      <w:r>
        <w:rPr>
          <w:rStyle w:val="Strong"/>
          <w:rFonts w:asciiTheme="minorHAnsi" w:hAnsiTheme="minorHAnsi" w:cstheme="minorHAnsi"/>
          <w:sz w:val="22"/>
          <w:szCs w:val="22"/>
          <w:u w:val="single"/>
        </w:rPr>
        <w:t>Pacing Guide:</w:t>
      </w:r>
    </w:p>
    <w:p w:rsidR="00D745E2" w:rsidRPr="00D745E2" w:rsidRDefault="00D745E2" w:rsidP="00EF3A04">
      <w:pPr>
        <w:widowControl/>
        <w:rPr>
          <w:rStyle w:val="Strong"/>
          <w:rFonts w:asciiTheme="minorHAnsi" w:hAnsiTheme="minorHAnsi" w:cstheme="minorHAnsi"/>
          <w:b w:val="0"/>
          <w:sz w:val="22"/>
          <w:szCs w:val="22"/>
        </w:rPr>
      </w:pPr>
      <w:r>
        <w:rPr>
          <w:rStyle w:val="Strong"/>
          <w:rFonts w:asciiTheme="minorHAnsi" w:hAnsiTheme="minorHAnsi" w:cstheme="minorHAnsi"/>
          <w:b w:val="0"/>
          <w:sz w:val="22"/>
          <w:szCs w:val="22"/>
        </w:rPr>
        <w:t>A rough approximation of the content map is as follows:</w:t>
      </w:r>
    </w:p>
    <w:p w:rsidR="00EF3A04" w:rsidRDefault="00EF3A04" w:rsidP="00EF3A04">
      <w:pPr>
        <w:widowControl/>
        <w:rPr>
          <w:rStyle w:val="Strong"/>
          <w:rFonts w:asciiTheme="minorHAnsi" w:hAnsiTheme="minorHAnsi" w:cstheme="minorHAnsi"/>
          <w:b w:val="0"/>
          <w:sz w:val="22"/>
          <w:szCs w:val="22"/>
        </w:rPr>
      </w:pPr>
    </w:p>
    <w:p w:rsidR="00EF3A04" w:rsidRDefault="00EF3A04" w:rsidP="00EF3A04">
      <w:pPr>
        <w:widowControl/>
        <w:rPr>
          <w:rStyle w:val="Strong"/>
          <w:rFonts w:asciiTheme="minorHAnsi" w:hAnsiTheme="minorHAnsi" w:cstheme="minorHAnsi"/>
          <w:b w:val="0"/>
          <w:sz w:val="22"/>
          <w:szCs w:val="22"/>
        </w:rPr>
      </w:pPr>
    </w:p>
    <w:p w:rsidR="00EF3A04" w:rsidRDefault="00EF3A04" w:rsidP="00EF3A04">
      <w:pPr>
        <w:widowControl/>
        <w:rPr>
          <w:rStyle w:val="Strong"/>
          <w:rFonts w:asciiTheme="minorHAnsi" w:hAnsiTheme="minorHAnsi" w:cstheme="minorHAnsi"/>
          <w:b w:val="0"/>
          <w:sz w:val="22"/>
          <w:szCs w:val="22"/>
        </w:rPr>
      </w:pPr>
    </w:p>
    <w:p w:rsidR="00EF3A04" w:rsidRDefault="00EF3A04" w:rsidP="00EF3A04">
      <w:pPr>
        <w:widowControl/>
        <w:rPr>
          <w:rStyle w:val="Strong"/>
          <w:rFonts w:asciiTheme="minorHAnsi" w:hAnsiTheme="minorHAnsi" w:cstheme="minorHAnsi"/>
          <w:b w:val="0"/>
          <w:sz w:val="22"/>
          <w:szCs w:val="22"/>
        </w:rPr>
      </w:pPr>
    </w:p>
    <w:tbl>
      <w:tblPr>
        <w:tblStyle w:val="TableGrid"/>
        <w:tblW w:w="0" w:type="auto"/>
        <w:tblLook w:val="04A0" w:firstRow="1" w:lastRow="0" w:firstColumn="1" w:lastColumn="0" w:noHBand="0" w:noVBand="1"/>
      </w:tblPr>
      <w:tblGrid>
        <w:gridCol w:w="10790"/>
      </w:tblGrid>
      <w:tr w:rsidR="00D745E2" w:rsidTr="00D745E2">
        <w:tc>
          <w:tcPr>
            <w:tcW w:w="10790" w:type="dxa"/>
          </w:tcPr>
          <w:tbl>
            <w:tblPr>
              <w:tblW w:w="0" w:type="auto"/>
              <w:tblBorders>
                <w:top w:val="nil"/>
                <w:left w:val="nil"/>
                <w:bottom w:val="nil"/>
                <w:right w:val="nil"/>
              </w:tblBorders>
              <w:tblLook w:val="0000" w:firstRow="0" w:lastRow="0" w:firstColumn="0" w:lastColumn="0" w:noHBand="0" w:noVBand="0"/>
            </w:tblPr>
            <w:tblGrid>
              <w:gridCol w:w="2643"/>
              <w:gridCol w:w="2644"/>
              <w:gridCol w:w="2643"/>
              <w:gridCol w:w="2644"/>
            </w:tblGrid>
            <w:tr w:rsidR="00D745E2" w:rsidRPr="00D745E2" w:rsidTr="00D745E2">
              <w:tblPrEx>
                <w:tblCellMar>
                  <w:top w:w="0" w:type="dxa"/>
                  <w:bottom w:w="0" w:type="dxa"/>
                </w:tblCellMar>
              </w:tblPrEx>
              <w:trPr>
                <w:trHeight w:val="131"/>
              </w:trPr>
              <w:tc>
                <w:tcPr>
                  <w:tcW w:w="2643"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lastRenderedPageBreak/>
                    <w:t>Unit 1</w:t>
                  </w:r>
                </w:p>
              </w:tc>
              <w:tc>
                <w:tcPr>
                  <w:tcW w:w="2644"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t>Unit 2</w:t>
                  </w:r>
                </w:p>
              </w:tc>
              <w:tc>
                <w:tcPr>
                  <w:tcW w:w="2643"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t>Unit 3</w:t>
                  </w:r>
                </w:p>
              </w:tc>
              <w:tc>
                <w:tcPr>
                  <w:tcW w:w="2644"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t>Unit 4</w:t>
                  </w:r>
                </w:p>
              </w:tc>
            </w:tr>
            <w:tr w:rsidR="00D745E2" w:rsidRPr="00D745E2" w:rsidTr="00D745E2">
              <w:tblPrEx>
                <w:tblCellMar>
                  <w:top w:w="0" w:type="dxa"/>
                  <w:bottom w:w="0" w:type="dxa"/>
                </w:tblCellMar>
              </w:tblPrEx>
              <w:trPr>
                <w:trHeight w:val="131"/>
              </w:trPr>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 Week</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1.5 Weeks</w:t>
                  </w:r>
                </w:p>
              </w:tc>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 Week</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1.5 Weeks</w:t>
                  </w:r>
                </w:p>
              </w:tc>
            </w:tr>
            <w:tr w:rsidR="00D745E2" w:rsidRPr="00D745E2" w:rsidTr="00D745E2">
              <w:tblPrEx>
                <w:tblCellMar>
                  <w:top w:w="0" w:type="dxa"/>
                  <w:bottom w:w="0" w:type="dxa"/>
                </w:tblCellMar>
              </w:tblPrEx>
              <w:trPr>
                <w:trHeight w:val="464"/>
              </w:trPr>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Colonialism</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Stirrings of Rebellion and Revolution</w:t>
                  </w:r>
                </w:p>
              </w:tc>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The Constitution</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Early Republic, Expansion, and</w:t>
                  </w:r>
                </w:p>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Reform</w:t>
                  </w:r>
                </w:p>
              </w:tc>
            </w:tr>
            <w:tr w:rsidR="00D745E2" w:rsidRPr="00D745E2" w:rsidTr="00D745E2">
              <w:tblPrEx>
                <w:tblCellMar>
                  <w:top w:w="0" w:type="dxa"/>
                  <w:bottom w:w="0" w:type="dxa"/>
                </w:tblCellMar>
              </w:tblPrEx>
              <w:trPr>
                <w:trHeight w:val="220"/>
              </w:trPr>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1 &amp; 2</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3 &amp; 4</w:t>
                  </w:r>
                </w:p>
              </w:tc>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5</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6 &amp; 7</w:t>
                  </w:r>
                </w:p>
              </w:tc>
            </w:tr>
            <w:tr w:rsidR="00D745E2" w:rsidRPr="00D745E2" w:rsidTr="00D745E2">
              <w:tblPrEx>
                <w:tblCellMar>
                  <w:top w:w="0" w:type="dxa"/>
                  <w:bottom w:w="0" w:type="dxa"/>
                </w:tblCellMar>
              </w:tblPrEx>
              <w:trPr>
                <w:trHeight w:val="2764"/>
              </w:trPr>
              <w:tc>
                <w:tcPr>
                  <w:tcW w:w="2643"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Great Awakening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Colonial Self-government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Diversity and Development of American colonies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Middle Passage and the African Population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Mercantilism and trans-Atlantic trade </w:t>
                  </w:r>
                </w:p>
                <w:p w:rsidR="00D745E2" w:rsidRPr="00D745E2" w:rsidRDefault="00D745E2" w:rsidP="00D745E2">
                  <w:pPr>
                    <w:widowControl/>
                    <w:rPr>
                      <w:rFonts w:asciiTheme="minorHAnsi" w:eastAsiaTheme="minorHAnsi" w:hAnsiTheme="minorHAnsi" w:cstheme="minorHAnsi"/>
                      <w:color w:val="000000"/>
                      <w:sz w:val="18"/>
                      <w:szCs w:val="18"/>
                    </w:rPr>
                  </w:pPr>
                </w:p>
              </w:tc>
              <w:tc>
                <w:tcPr>
                  <w:tcW w:w="2644"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Causes of the American Revolution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Colonial Unrest and Movement for Independence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America Revolutionary Relationship with Europe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Impact of Location on Major Battles of the Revolution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Women, American Indians, and free and enslaved Blacks in the Revolution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Key People of the Revolutionary Era </w:t>
                  </w:r>
                </w:p>
                <w:p w:rsidR="00D745E2" w:rsidRPr="00D745E2" w:rsidRDefault="00D745E2" w:rsidP="00D745E2">
                  <w:pPr>
                    <w:widowControl/>
                    <w:rPr>
                      <w:rFonts w:asciiTheme="minorHAnsi" w:eastAsiaTheme="minorHAnsi" w:hAnsiTheme="minorHAnsi" w:cstheme="minorHAnsi"/>
                      <w:color w:val="000000"/>
                      <w:sz w:val="18"/>
                      <w:szCs w:val="18"/>
                    </w:rPr>
                  </w:pPr>
                </w:p>
              </w:tc>
              <w:tc>
                <w:tcPr>
                  <w:tcW w:w="2643"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Strength and Weakness of the Articles of Confederation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Key features of the Constitution.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Arguments for and against the Constitution.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Bill of Rights and Ratification </w:t>
                  </w:r>
                </w:p>
                <w:p w:rsidR="00D745E2" w:rsidRPr="00D745E2" w:rsidRDefault="00D745E2" w:rsidP="00D745E2">
                  <w:pPr>
                    <w:widowControl/>
                    <w:rPr>
                      <w:rFonts w:asciiTheme="minorHAnsi" w:eastAsiaTheme="minorHAnsi" w:hAnsiTheme="minorHAnsi" w:cstheme="minorHAnsi"/>
                      <w:color w:val="000000"/>
                      <w:sz w:val="18"/>
                      <w:szCs w:val="18"/>
                    </w:rPr>
                  </w:pPr>
                </w:p>
              </w:tc>
              <w:tc>
                <w:tcPr>
                  <w:tcW w:w="2644"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Presidential Precedents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Setting an International Precedent: War of 1812 and Monroe Doctrine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Early National Expansion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Establishing a National Identity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Industrial and Economic Growth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Social Reform Movements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Jacksonian Democracy </w:t>
                  </w:r>
                </w:p>
                <w:p w:rsidR="00D745E2" w:rsidRPr="00D745E2" w:rsidRDefault="00D745E2" w:rsidP="00D745E2">
                  <w:pPr>
                    <w:widowControl/>
                    <w:rPr>
                      <w:rFonts w:asciiTheme="minorHAnsi" w:eastAsiaTheme="minorHAnsi" w:hAnsiTheme="minorHAnsi" w:cstheme="minorHAnsi"/>
                      <w:color w:val="000000"/>
                      <w:sz w:val="18"/>
                      <w:szCs w:val="18"/>
                    </w:rPr>
                  </w:pPr>
                </w:p>
              </w:tc>
            </w:tr>
          </w:tbl>
          <w:p w:rsidR="00D745E2" w:rsidRDefault="00D745E2" w:rsidP="00EF3A04">
            <w:pPr>
              <w:widowControl/>
              <w:rPr>
                <w:rFonts w:asciiTheme="minorHAnsi" w:hAnsiTheme="minorHAnsi" w:cstheme="minorHAnsi"/>
                <w:bCs/>
                <w:sz w:val="18"/>
                <w:szCs w:val="18"/>
              </w:rPr>
            </w:pPr>
          </w:p>
        </w:tc>
      </w:tr>
    </w:tbl>
    <w:p w:rsidR="00EF3A04" w:rsidRDefault="00EF3A04" w:rsidP="00EF3A04">
      <w:pPr>
        <w:widowControl/>
        <w:rPr>
          <w:rFonts w:asciiTheme="minorHAnsi" w:hAnsiTheme="minorHAnsi" w:cstheme="minorHAnsi"/>
          <w:bCs/>
          <w:sz w:val="18"/>
          <w:szCs w:val="18"/>
        </w:rPr>
      </w:pPr>
    </w:p>
    <w:tbl>
      <w:tblPr>
        <w:tblStyle w:val="TableGrid"/>
        <w:tblW w:w="0" w:type="auto"/>
        <w:tblLook w:val="04A0" w:firstRow="1" w:lastRow="0" w:firstColumn="1" w:lastColumn="0" w:noHBand="0" w:noVBand="1"/>
      </w:tblPr>
      <w:tblGrid>
        <w:gridCol w:w="10790"/>
      </w:tblGrid>
      <w:tr w:rsidR="00D745E2" w:rsidRPr="00D745E2" w:rsidTr="00D745E2">
        <w:tc>
          <w:tcPr>
            <w:tcW w:w="10790" w:type="dxa"/>
          </w:tcPr>
          <w:tbl>
            <w:tblPr>
              <w:tblW w:w="0" w:type="auto"/>
              <w:tblBorders>
                <w:top w:val="nil"/>
                <w:left w:val="nil"/>
                <w:bottom w:val="nil"/>
                <w:right w:val="nil"/>
              </w:tblBorders>
              <w:tblLook w:val="0000" w:firstRow="0" w:lastRow="0" w:firstColumn="0" w:lastColumn="0" w:noHBand="0" w:noVBand="0"/>
            </w:tblPr>
            <w:tblGrid>
              <w:gridCol w:w="2643"/>
              <w:gridCol w:w="2644"/>
              <w:gridCol w:w="2643"/>
              <w:gridCol w:w="2644"/>
            </w:tblGrid>
            <w:tr w:rsidR="00D745E2" w:rsidRPr="00D745E2" w:rsidTr="00D745E2">
              <w:tblPrEx>
                <w:tblCellMar>
                  <w:top w:w="0" w:type="dxa"/>
                  <w:bottom w:w="0" w:type="dxa"/>
                </w:tblCellMar>
              </w:tblPrEx>
              <w:trPr>
                <w:trHeight w:val="131"/>
              </w:trPr>
              <w:tc>
                <w:tcPr>
                  <w:tcW w:w="2643"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t>Unit 5</w:t>
                  </w:r>
                </w:p>
              </w:tc>
              <w:tc>
                <w:tcPr>
                  <w:tcW w:w="2644"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t>Unit 6</w:t>
                  </w:r>
                </w:p>
              </w:tc>
              <w:tc>
                <w:tcPr>
                  <w:tcW w:w="2643"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t>Unit 7</w:t>
                  </w:r>
                </w:p>
              </w:tc>
              <w:tc>
                <w:tcPr>
                  <w:tcW w:w="2644"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t>Unit 8</w:t>
                  </w:r>
                </w:p>
              </w:tc>
            </w:tr>
            <w:tr w:rsidR="00D745E2" w:rsidRPr="00D745E2" w:rsidTr="00D745E2">
              <w:tblPrEx>
                <w:tblCellMar>
                  <w:top w:w="0" w:type="dxa"/>
                  <w:bottom w:w="0" w:type="dxa"/>
                </w:tblCellMar>
              </w:tblPrEx>
              <w:trPr>
                <w:trHeight w:val="131"/>
              </w:trPr>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 Week</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1.5 Weeks</w:t>
                  </w:r>
                </w:p>
              </w:tc>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1.5 Weeks</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 Week</w:t>
                  </w:r>
                </w:p>
              </w:tc>
            </w:tr>
            <w:tr w:rsidR="00D745E2" w:rsidRPr="00D745E2" w:rsidTr="00D745E2">
              <w:tblPrEx>
                <w:tblCellMar>
                  <w:top w:w="0" w:type="dxa"/>
                  <w:bottom w:w="0" w:type="dxa"/>
                </w:tblCellMar>
              </w:tblPrEx>
              <w:trPr>
                <w:trHeight w:val="293"/>
              </w:trPr>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Sectionalism</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Civil War and Reconstruction</w:t>
                  </w:r>
                </w:p>
              </w:tc>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Expansion and Reform</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American Imperialism and WWI</w:t>
                  </w:r>
                </w:p>
              </w:tc>
            </w:tr>
            <w:tr w:rsidR="00D745E2" w:rsidRPr="00D745E2" w:rsidTr="00D745E2">
              <w:tblPrEx>
                <w:tblCellMar>
                  <w:top w:w="0" w:type="dxa"/>
                  <w:bottom w:w="0" w:type="dxa"/>
                </w:tblCellMar>
              </w:tblPrEx>
              <w:trPr>
                <w:trHeight w:val="216"/>
              </w:trPr>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8</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9 &amp; 10</w:t>
                  </w:r>
                </w:p>
              </w:tc>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11-13</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14 &amp; 15</w:t>
                  </w:r>
                </w:p>
              </w:tc>
            </w:tr>
            <w:tr w:rsidR="00D745E2" w:rsidRPr="00D745E2" w:rsidTr="00D745E2">
              <w:tblPrEx>
                <w:tblCellMar>
                  <w:top w:w="0" w:type="dxa"/>
                  <w:bottom w:w="0" w:type="dxa"/>
                </w:tblCellMar>
              </w:tblPrEx>
              <w:trPr>
                <w:trHeight w:val="2774"/>
              </w:trPr>
              <w:tc>
                <w:tcPr>
                  <w:tcW w:w="2643"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Compromise and Growing Sectionalism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Causes of the Civil War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Manifest Destiny </w:t>
                  </w:r>
                </w:p>
                <w:p w:rsidR="00D745E2" w:rsidRPr="00D745E2" w:rsidRDefault="00D745E2" w:rsidP="00D745E2">
                  <w:pPr>
                    <w:widowControl/>
                    <w:rPr>
                      <w:rFonts w:asciiTheme="minorHAnsi" w:eastAsiaTheme="minorHAnsi" w:hAnsiTheme="minorHAnsi" w:cstheme="minorHAnsi"/>
                      <w:color w:val="000000"/>
                      <w:sz w:val="18"/>
                      <w:szCs w:val="18"/>
                    </w:rPr>
                  </w:pPr>
                </w:p>
              </w:tc>
              <w:tc>
                <w:tcPr>
                  <w:tcW w:w="2644"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The Role of Lincoln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Influences of Key Figures in the Civil War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Impact of Location on Important Battles of the Civil War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Reconstruction Goals, Successes, and Challenges </w:t>
                  </w:r>
                </w:p>
                <w:p w:rsidR="00D745E2" w:rsidRPr="00D745E2" w:rsidRDefault="00D745E2" w:rsidP="00D745E2">
                  <w:pPr>
                    <w:widowControl/>
                    <w:rPr>
                      <w:rFonts w:asciiTheme="minorHAnsi" w:eastAsiaTheme="minorHAnsi" w:hAnsiTheme="minorHAnsi" w:cstheme="minorHAnsi"/>
                      <w:color w:val="000000"/>
                      <w:sz w:val="18"/>
                      <w:szCs w:val="18"/>
                    </w:rPr>
                  </w:pPr>
                </w:p>
              </w:tc>
              <w:tc>
                <w:tcPr>
                  <w:tcW w:w="2643"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Rise of Big Business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Influence of Key Inventions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Social, Political, and Economic Influence of Immigration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Formation and Growth of Labor Unions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Manifest Destiny’s Impact on American Indians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Effect of Women, Journalism and Social Reform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Supreme Court’s Impact on Segregation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Progressive Politics </w:t>
                  </w:r>
                </w:p>
                <w:p w:rsidR="00D745E2" w:rsidRPr="00D745E2" w:rsidRDefault="00D745E2" w:rsidP="00D745E2">
                  <w:pPr>
                    <w:widowControl/>
                    <w:rPr>
                      <w:rFonts w:asciiTheme="minorHAnsi" w:eastAsiaTheme="minorHAnsi" w:hAnsiTheme="minorHAnsi" w:cstheme="minorHAnsi"/>
                      <w:color w:val="000000"/>
                      <w:sz w:val="18"/>
                      <w:szCs w:val="18"/>
                    </w:rPr>
                  </w:pPr>
                </w:p>
              </w:tc>
              <w:tc>
                <w:tcPr>
                  <w:tcW w:w="2644"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American Imperialism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US Involvement in WWI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Domestic Impact of WWI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US International Involvement after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WWI </w:t>
                  </w:r>
                </w:p>
                <w:p w:rsidR="00D745E2" w:rsidRPr="00D745E2" w:rsidRDefault="00D745E2" w:rsidP="00D745E2">
                  <w:pPr>
                    <w:widowControl/>
                    <w:rPr>
                      <w:rFonts w:asciiTheme="minorHAnsi" w:eastAsiaTheme="minorHAnsi" w:hAnsiTheme="minorHAnsi" w:cstheme="minorHAnsi"/>
                      <w:color w:val="000000"/>
                      <w:sz w:val="18"/>
                      <w:szCs w:val="18"/>
                    </w:rPr>
                  </w:pPr>
                </w:p>
              </w:tc>
            </w:tr>
          </w:tbl>
          <w:p w:rsidR="00D745E2" w:rsidRPr="00D745E2" w:rsidRDefault="00D745E2" w:rsidP="00EF3A04">
            <w:pPr>
              <w:widowControl/>
              <w:rPr>
                <w:rFonts w:asciiTheme="minorHAnsi" w:hAnsiTheme="minorHAnsi" w:cstheme="minorHAnsi"/>
                <w:bCs/>
                <w:sz w:val="18"/>
                <w:szCs w:val="18"/>
              </w:rPr>
            </w:pPr>
          </w:p>
        </w:tc>
      </w:tr>
    </w:tbl>
    <w:p w:rsidR="00D745E2" w:rsidRDefault="00D745E2" w:rsidP="00EF3A04">
      <w:pPr>
        <w:widowControl/>
        <w:rPr>
          <w:rFonts w:asciiTheme="minorHAnsi" w:hAnsiTheme="minorHAnsi" w:cstheme="minorHAnsi"/>
          <w:bCs/>
          <w:sz w:val="18"/>
          <w:szCs w:val="18"/>
        </w:rPr>
      </w:pPr>
    </w:p>
    <w:tbl>
      <w:tblPr>
        <w:tblStyle w:val="TableGrid"/>
        <w:tblW w:w="0" w:type="auto"/>
        <w:tblLook w:val="04A0" w:firstRow="1" w:lastRow="0" w:firstColumn="1" w:lastColumn="0" w:noHBand="0" w:noVBand="1"/>
      </w:tblPr>
      <w:tblGrid>
        <w:gridCol w:w="10790"/>
      </w:tblGrid>
      <w:tr w:rsidR="00D745E2" w:rsidRPr="00D745E2" w:rsidTr="00D745E2">
        <w:tc>
          <w:tcPr>
            <w:tcW w:w="10790" w:type="dxa"/>
          </w:tcPr>
          <w:tbl>
            <w:tblPr>
              <w:tblW w:w="0" w:type="auto"/>
              <w:tblBorders>
                <w:top w:val="nil"/>
                <w:left w:val="nil"/>
                <w:bottom w:val="nil"/>
                <w:right w:val="nil"/>
              </w:tblBorders>
              <w:tblLook w:val="0000" w:firstRow="0" w:lastRow="0" w:firstColumn="0" w:lastColumn="0" w:noHBand="0" w:noVBand="0"/>
            </w:tblPr>
            <w:tblGrid>
              <w:gridCol w:w="2643"/>
              <w:gridCol w:w="2644"/>
              <w:gridCol w:w="2643"/>
              <w:gridCol w:w="2644"/>
            </w:tblGrid>
            <w:tr w:rsidR="00D745E2" w:rsidRPr="00D745E2" w:rsidTr="00D745E2">
              <w:tblPrEx>
                <w:tblCellMar>
                  <w:top w:w="0" w:type="dxa"/>
                  <w:bottom w:w="0" w:type="dxa"/>
                </w:tblCellMar>
              </w:tblPrEx>
              <w:trPr>
                <w:trHeight w:val="131"/>
              </w:trPr>
              <w:tc>
                <w:tcPr>
                  <w:tcW w:w="2643"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t>Unit 9</w:t>
                  </w:r>
                </w:p>
              </w:tc>
              <w:tc>
                <w:tcPr>
                  <w:tcW w:w="2644"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t>Unit 10</w:t>
                  </w:r>
                </w:p>
              </w:tc>
              <w:tc>
                <w:tcPr>
                  <w:tcW w:w="2643"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t>Unit 11</w:t>
                  </w:r>
                </w:p>
              </w:tc>
              <w:tc>
                <w:tcPr>
                  <w:tcW w:w="2644"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t>Unit 12</w:t>
                  </w:r>
                </w:p>
              </w:tc>
            </w:tr>
            <w:tr w:rsidR="00D745E2" w:rsidRPr="00D745E2" w:rsidTr="00D745E2">
              <w:tblPrEx>
                <w:tblCellMar>
                  <w:top w:w="0" w:type="dxa"/>
                  <w:bottom w:w="0" w:type="dxa"/>
                </w:tblCellMar>
              </w:tblPrEx>
              <w:trPr>
                <w:trHeight w:val="131"/>
              </w:trPr>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 Week</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 Week</w:t>
                  </w:r>
                </w:p>
              </w:tc>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1.5 Weeks</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 Week</w:t>
                  </w:r>
                </w:p>
              </w:tc>
            </w:tr>
            <w:tr w:rsidR="00D745E2" w:rsidRPr="00D745E2" w:rsidTr="00D745E2">
              <w:tblPrEx>
                <w:tblCellMar>
                  <w:top w:w="0" w:type="dxa"/>
                  <w:bottom w:w="0" w:type="dxa"/>
                </w:tblCellMar>
              </w:tblPrEx>
              <w:trPr>
                <w:trHeight w:val="141"/>
              </w:trPr>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20s-30s</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World War II</w:t>
                  </w:r>
                </w:p>
              </w:tc>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Cold War and Civil Rights</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Modern Era</w:t>
                  </w:r>
                </w:p>
              </w:tc>
            </w:tr>
            <w:tr w:rsidR="00D745E2" w:rsidRPr="00D745E2" w:rsidTr="00D745E2">
              <w:tblPrEx>
                <w:tblCellMar>
                  <w:top w:w="0" w:type="dxa"/>
                  <w:bottom w:w="0" w:type="dxa"/>
                </w:tblCellMar>
              </w:tblPrEx>
              <w:trPr>
                <w:trHeight w:val="131"/>
              </w:trPr>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16-18</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19</w:t>
                  </w:r>
                </w:p>
              </w:tc>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20-21</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22-23</w:t>
                  </w:r>
                </w:p>
              </w:tc>
            </w:tr>
            <w:tr w:rsidR="00D745E2" w:rsidRPr="00D745E2" w:rsidTr="00D745E2">
              <w:tblPrEx>
                <w:tblCellMar>
                  <w:top w:w="0" w:type="dxa"/>
                  <w:bottom w:w="0" w:type="dxa"/>
                </w:tblCellMar>
              </w:tblPrEx>
              <w:trPr>
                <w:trHeight w:val="2935"/>
              </w:trPr>
              <w:tc>
                <w:tcPr>
                  <w:tcW w:w="2643"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Political Changes after WWI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Cultural Changes and National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Identity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Causes of the Great Depression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Social and Political Impact of the Great Depression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Relief, Recovery, and Reform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Role of the First Lady </w:t>
                  </w:r>
                </w:p>
                <w:p w:rsidR="00D745E2" w:rsidRPr="00D745E2" w:rsidRDefault="00D745E2" w:rsidP="00D745E2">
                  <w:pPr>
                    <w:widowControl/>
                    <w:rPr>
                      <w:rFonts w:asciiTheme="minorHAnsi" w:eastAsiaTheme="minorHAnsi" w:hAnsiTheme="minorHAnsi" w:cstheme="minorHAnsi"/>
                      <w:color w:val="000000"/>
                      <w:sz w:val="18"/>
                      <w:szCs w:val="18"/>
                    </w:rPr>
                  </w:pPr>
                </w:p>
              </w:tc>
              <w:tc>
                <w:tcPr>
                  <w:tcW w:w="2644"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US Involvement in WWII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Domestic Impact of WWII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Obstacles in the European and Pacific Theatre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Executive Powers during WWII </w:t>
                  </w:r>
                </w:p>
                <w:p w:rsidR="00D745E2" w:rsidRPr="00D745E2" w:rsidRDefault="00D745E2" w:rsidP="00D745E2">
                  <w:pPr>
                    <w:widowControl/>
                    <w:rPr>
                      <w:rFonts w:asciiTheme="minorHAnsi" w:eastAsiaTheme="minorHAnsi" w:hAnsiTheme="minorHAnsi" w:cstheme="minorHAnsi"/>
                      <w:color w:val="000000"/>
                      <w:sz w:val="18"/>
                      <w:szCs w:val="18"/>
                    </w:rPr>
                  </w:pPr>
                </w:p>
              </w:tc>
              <w:tc>
                <w:tcPr>
                  <w:tcW w:w="2643"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Cold War Policy under Truman and Eisenhower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Domestic Issues and Social Effects under Truman and Eisenhower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Technological Innovation and Education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Cold War Policy under Kennedy and Johnson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Domestic Issues and S</w:t>
                  </w:r>
                  <w:r>
                    <w:rPr>
                      <w:rFonts w:asciiTheme="minorHAnsi" w:eastAsiaTheme="minorHAnsi" w:hAnsiTheme="minorHAnsi" w:cstheme="minorHAnsi"/>
                      <w:color w:val="000000"/>
                      <w:sz w:val="18"/>
                      <w:szCs w:val="18"/>
                    </w:rPr>
                    <w:t>ocial Effects under Kennedy/</w:t>
                  </w:r>
                  <w:r w:rsidRPr="00D745E2">
                    <w:rPr>
                      <w:rFonts w:asciiTheme="minorHAnsi" w:eastAsiaTheme="minorHAnsi" w:hAnsiTheme="minorHAnsi" w:cstheme="minorHAnsi"/>
                      <w:color w:val="000000"/>
                      <w:sz w:val="18"/>
                      <w:szCs w:val="18"/>
                    </w:rPr>
                    <w:t xml:space="preserve">Johnson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Impact of Television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Growth, Influence, and Strategy of the Civil Rights Movement </w:t>
                  </w:r>
                </w:p>
                <w:p w:rsidR="00D745E2" w:rsidRPr="00D745E2" w:rsidRDefault="00902298" w:rsidP="00D745E2">
                  <w:pPr>
                    <w:widowControl/>
                    <w:rPr>
                      <w:rFonts w:asciiTheme="minorHAnsi" w:eastAsiaTheme="minorHAnsi" w:hAnsiTheme="minorHAnsi" w:cstheme="minorHAnsi"/>
                      <w:color w:val="000000"/>
                      <w:sz w:val="18"/>
                      <w:szCs w:val="18"/>
                    </w:rPr>
                  </w:pPr>
                  <w:r>
                    <w:rPr>
                      <w:rFonts w:asciiTheme="minorHAnsi" w:eastAsiaTheme="minorHAnsi" w:hAnsiTheme="minorHAnsi" w:cstheme="minorHAnsi"/>
                      <w:color w:val="000000"/>
                      <w:sz w:val="18"/>
                      <w:szCs w:val="18"/>
                    </w:rPr>
                    <w:t> Social/</w:t>
                  </w:r>
                  <w:r w:rsidR="00D745E2" w:rsidRPr="00D745E2">
                    <w:rPr>
                      <w:rFonts w:asciiTheme="minorHAnsi" w:eastAsiaTheme="minorHAnsi" w:hAnsiTheme="minorHAnsi" w:cstheme="minorHAnsi"/>
                      <w:color w:val="000000"/>
                      <w:sz w:val="18"/>
                      <w:szCs w:val="18"/>
                    </w:rPr>
                    <w:t xml:space="preserve">Political Turmoil in 1968 </w:t>
                  </w:r>
                </w:p>
              </w:tc>
              <w:tc>
                <w:tcPr>
                  <w:tcW w:w="2644"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Cold War Policy under Nixon, Ford, and Carter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Domestic Issues and Social Effects under Nixon, Ford, and Carter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Challenges of Recent Presidents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Economic Policies of Recent Presidents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Impact of Technological Changes on Society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Presidential Election of 2008 </w:t>
                  </w:r>
                </w:p>
                <w:p w:rsidR="00D745E2" w:rsidRPr="00D745E2" w:rsidRDefault="00D745E2" w:rsidP="00D745E2">
                  <w:pPr>
                    <w:widowControl/>
                    <w:rPr>
                      <w:rFonts w:asciiTheme="minorHAnsi" w:eastAsiaTheme="minorHAnsi" w:hAnsiTheme="minorHAnsi" w:cstheme="minorHAnsi"/>
                      <w:color w:val="000000"/>
                      <w:sz w:val="18"/>
                      <w:szCs w:val="18"/>
                    </w:rPr>
                  </w:pPr>
                </w:p>
              </w:tc>
            </w:tr>
          </w:tbl>
          <w:p w:rsidR="00D745E2" w:rsidRPr="00D745E2" w:rsidRDefault="00D745E2" w:rsidP="00EF3A04">
            <w:pPr>
              <w:widowControl/>
              <w:rPr>
                <w:rFonts w:asciiTheme="minorHAnsi" w:hAnsiTheme="minorHAnsi" w:cstheme="minorHAnsi"/>
                <w:bCs/>
                <w:sz w:val="18"/>
                <w:szCs w:val="18"/>
              </w:rPr>
            </w:pPr>
          </w:p>
        </w:tc>
      </w:tr>
    </w:tbl>
    <w:p w:rsidR="00D745E2" w:rsidRPr="00D745E2" w:rsidRDefault="00D745E2" w:rsidP="00EF3A04">
      <w:pPr>
        <w:widowControl/>
        <w:rPr>
          <w:rFonts w:asciiTheme="minorHAnsi" w:hAnsiTheme="minorHAnsi" w:cstheme="minorHAnsi"/>
          <w:bCs/>
          <w:sz w:val="18"/>
          <w:szCs w:val="18"/>
        </w:rPr>
      </w:pPr>
    </w:p>
    <w:sectPr w:rsidR="00D745E2" w:rsidRPr="00D745E2" w:rsidSect="00CB58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E63AD"/>
    <w:multiLevelType w:val="hybridMultilevel"/>
    <w:tmpl w:val="2480ADDC"/>
    <w:lvl w:ilvl="0" w:tplc="E2E2AB40">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8F0"/>
    <w:rsid w:val="00550779"/>
    <w:rsid w:val="00902298"/>
    <w:rsid w:val="00980900"/>
    <w:rsid w:val="00CB58F0"/>
    <w:rsid w:val="00CF7849"/>
    <w:rsid w:val="00D745E2"/>
    <w:rsid w:val="00EF3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E857"/>
  <w15:chartTrackingRefBased/>
  <w15:docId w15:val="{1FC9E388-2652-493E-BFA4-7CC9B57F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B58F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B58F0"/>
    <w:rPr>
      <w:b/>
      <w:bCs/>
    </w:rPr>
  </w:style>
  <w:style w:type="table" w:styleId="TableGrid">
    <w:name w:val="Table Grid"/>
    <w:basedOn w:val="TableNormal"/>
    <w:uiPriority w:val="39"/>
    <w:rsid w:val="00EF3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3A04"/>
    <w:pPr>
      <w:ind w:left="720"/>
      <w:contextualSpacing/>
    </w:pPr>
  </w:style>
  <w:style w:type="paragraph" w:customStyle="1" w:styleId="Default">
    <w:name w:val="Default"/>
    <w:rsid w:val="00EF3A0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Holcomb</dc:creator>
  <cp:keywords/>
  <dc:description/>
  <cp:lastModifiedBy>Chris Holcomb</cp:lastModifiedBy>
  <cp:revision>3</cp:revision>
  <dcterms:created xsi:type="dcterms:W3CDTF">2017-08-22T23:11:00Z</dcterms:created>
  <dcterms:modified xsi:type="dcterms:W3CDTF">2017-08-22T23:44:00Z</dcterms:modified>
</cp:coreProperties>
</file>